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聊城市重点研发计划“揭榜制”“组阁制”</w:t>
      </w:r>
    </w:p>
    <w:p>
      <w:pPr>
        <w:spacing w:line="700" w:lineRule="exact"/>
        <w:jc w:val="center"/>
        <w:rPr>
          <w:rFonts w:ascii="仿宋_GB2312" w:hAnsi="仿宋_GB2312" w:eastAsia="仿宋_GB2312" w:cs="仿宋_GB2312"/>
          <w:bCs/>
          <w:sz w:val="32"/>
          <w:szCs w:val="32"/>
        </w:rPr>
      </w:pPr>
      <w:r>
        <w:rPr>
          <w:rFonts w:hint="eastAsia" w:ascii="方正小标宋简体" w:hAnsi="方正小标宋简体" w:eastAsia="方正小标宋简体" w:cs="方正小标宋简体"/>
          <w:bCs/>
          <w:sz w:val="44"/>
          <w:szCs w:val="44"/>
        </w:rPr>
        <w:t>项目需求表1（共性技术攻关类）</w:t>
      </w:r>
    </w:p>
    <w:tbl>
      <w:tblPr>
        <w:tblStyle w:val="5"/>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9"/>
        <w:gridCol w:w="842"/>
        <w:gridCol w:w="663"/>
        <w:gridCol w:w="223"/>
        <w:gridCol w:w="631"/>
        <w:gridCol w:w="219"/>
        <w:gridCol w:w="851"/>
        <w:gridCol w:w="320"/>
        <w:gridCol w:w="410"/>
        <w:gridCol w:w="120"/>
        <w:gridCol w:w="993"/>
        <w:gridCol w:w="247"/>
        <w:gridCol w:w="252"/>
        <w:gridCol w:w="239"/>
        <w:gridCol w:w="112"/>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976" w:type="dxa"/>
            <w:gridSpan w:val="16"/>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需求方情况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w:t>
            </w:r>
          </w:p>
        </w:tc>
        <w:tc>
          <w:tcPr>
            <w:tcW w:w="7305" w:type="dxa"/>
            <w:gridSpan w:val="14"/>
            <w:vAlign w:val="center"/>
          </w:tcPr>
          <w:p>
            <w:pPr>
              <w:ind w:firstLine="1200" w:firstLineChars="5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bCs/>
                <w:sz w:val="24"/>
              </w:rPr>
              <w:t>比兰德（山东）工程科技有限公司</w:t>
            </w:r>
            <w:r>
              <w:rPr>
                <w:rFonts w:hint="eastAsia" w:ascii="仿宋_GB2312" w:hAnsi="仿宋_GB2312" w:eastAsia="仿宋_GB2312" w:cs="仿宋_GB2312"/>
                <w:bCs/>
                <w:sz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注册时间</w:t>
            </w:r>
          </w:p>
        </w:tc>
        <w:tc>
          <w:tcPr>
            <w:tcW w:w="2907" w:type="dxa"/>
            <w:gridSpan w:val="6"/>
            <w:vAlign w:val="center"/>
          </w:tcPr>
          <w:p>
            <w:pPr>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rPr>
              <w:t>2017</w:t>
            </w:r>
            <w:r>
              <w:rPr>
                <w:rFonts w:hint="eastAsia" w:ascii="仿宋_GB2312" w:hAnsi="仿宋_GB2312" w:eastAsia="仿宋_GB2312" w:cs="仿宋_GB2312"/>
                <w:bCs/>
                <w:sz w:val="24"/>
                <w:lang w:val="en-US" w:eastAsia="zh-CN"/>
              </w:rPr>
              <w:t>年</w:t>
            </w:r>
            <w:r>
              <w:rPr>
                <w:rFonts w:hint="eastAsia" w:ascii="仿宋_GB2312" w:hAnsi="仿宋_GB2312" w:eastAsia="仿宋_GB2312" w:cs="仿宋_GB2312"/>
                <w:bCs/>
                <w:sz w:val="24"/>
              </w:rPr>
              <w:t>8</w:t>
            </w:r>
            <w:r>
              <w:rPr>
                <w:rFonts w:hint="eastAsia" w:ascii="仿宋_GB2312" w:hAnsi="仿宋_GB2312" w:eastAsia="仿宋_GB2312" w:cs="仿宋_GB2312"/>
                <w:bCs/>
                <w:sz w:val="24"/>
                <w:lang w:val="en-US" w:eastAsia="zh-CN"/>
              </w:rPr>
              <w:t>月</w:t>
            </w:r>
            <w:r>
              <w:rPr>
                <w:rFonts w:hint="eastAsia" w:ascii="仿宋_GB2312" w:hAnsi="仿宋_GB2312" w:eastAsia="仿宋_GB2312" w:cs="仿宋_GB2312"/>
                <w:bCs/>
                <w:sz w:val="24"/>
              </w:rPr>
              <w:t>10</w:t>
            </w:r>
            <w:r>
              <w:rPr>
                <w:rFonts w:hint="eastAsia" w:ascii="仿宋_GB2312" w:hAnsi="仿宋_GB2312" w:eastAsia="仿宋_GB2312" w:cs="仿宋_GB2312"/>
                <w:bCs/>
                <w:sz w:val="24"/>
                <w:lang w:val="en-US" w:eastAsia="zh-CN"/>
              </w:rPr>
              <w:t>日</w:t>
            </w:r>
          </w:p>
        </w:tc>
        <w:tc>
          <w:tcPr>
            <w:tcW w:w="1770"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注册资金</w:t>
            </w:r>
          </w:p>
        </w:tc>
        <w:tc>
          <w:tcPr>
            <w:tcW w:w="2628" w:type="dxa"/>
            <w:gridSpan w:val="4"/>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所属产业</w:t>
            </w:r>
          </w:p>
        </w:tc>
        <w:tc>
          <w:tcPr>
            <w:tcW w:w="2907" w:type="dxa"/>
            <w:gridSpan w:val="6"/>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科技推广和应用服务业</w:t>
            </w:r>
          </w:p>
        </w:tc>
        <w:tc>
          <w:tcPr>
            <w:tcW w:w="1770"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主营业务</w:t>
            </w:r>
          </w:p>
        </w:tc>
        <w:tc>
          <w:tcPr>
            <w:tcW w:w="2628" w:type="dxa"/>
            <w:gridSpan w:val="4"/>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建筑工程新产品、新技术研发与推广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1671"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单位总人数</w:t>
            </w:r>
          </w:p>
        </w:tc>
        <w:tc>
          <w:tcPr>
            <w:tcW w:w="2907" w:type="dxa"/>
            <w:gridSpan w:val="6"/>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56人</w:t>
            </w:r>
          </w:p>
        </w:tc>
        <w:tc>
          <w:tcPr>
            <w:tcW w:w="1770" w:type="dxa"/>
            <w:gridSpan w:val="4"/>
            <w:vAlign w:val="center"/>
          </w:tcPr>
          <w:p>
            <w:pPr>
              <w:jc w:val="center"/>
              <w:rPr>
                <w:rFonts w:ascii="仿宋_GB2312" w:hAnsi="仿宋_GB2312" w:eastAsia="仿宋_GB2312" w:cs="仿宋_GB2312"/>
                <w:szCs w:val="28"/>
              </w:rPr>
            </w:pPr>
            <w:r>
              <w:rPr>
                <w:rFonts w:hint="eastAsia" w:ascii="仿宋_GB2312" w:hAnsi="仿宋_GB2312" w:eastAsia="仿宋_GB2312" w:cs="仿宋_GB2312"/>
                <w:sz w:val="28"/>
                <w:szCs w:val="28"/>
              </w:rPr>
              <w:t>本科以上人数</w:t>
            </w:r>
          </w:p>
        </w:tc>
        <w:tc>
          <w:tcPr>
            <w:tcW w:w="2628" w:type="dxa"/>
            <w:gridSpan w:val="4"/>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32人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3" w:hRule="atLeast"/>
          <w:jc w:val="center"/>
        </w:trPr>
        <w:tc>
          <w:tcPr>
            <w:tcW w:w="1671" w:type="dxa"/>
            <w:gridSpan w:val="2"/>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法人类型</w:t>
            </w:r>
          </w:p>
        </w:tc>
        <w:tc>
          <w:tcPr>
            <w:tcW w:w="7305" w:type="dxa"/>
            <w:gridSpan w:val="14"/>
            <w:vAlign w:val="center"/>
          </w:tcPr>
          <w:p>
            <w:pPr>
              <w:spacing w:line="360" w:lineRule="auto"/>
              <w:ind w:firstLine="120" w:firstLineChars="50"/>
              <w:jc w:val="left"/>
              <w:rPr>
                <w:rFonts w:ascii="仿宋_GB2312" w:hAnsi="仿宋_GB2312" w:eastAsia="仿宋_GB2312" w:cs="仿宋_GB2312"/>
                <w:sz w:val="24"/>
              </w:rPr>
            </w:pPr>
            <w:r>
              <w:rPr>
                <w:rFonts w:hint="eastAsia" w:ascii="仿宋_GB2312" w:hAnsi="仿宋_GB2312" w:eastAsia="仿宋_GB2312" w:cs="仿宋_GB2312"/>
                <w:sz w:val="24"/>
              </w:rPr>
              <w:t>√企业法人      ○机关法人    ○社会团体法人</w:t>
            </w:r>
          </w:p>
          <w:p>
            <w:pPr>
              <w:spacing w:line="360" w:lineRule="auto"/>
              <w:ind w:firstLine="120" w:firstLineChars="50"/>
              <w:jc w:val="left"/>
              <w:rPr>
                <w:rFonts w:ascii="仿宋_GB2312" w:hAnsi="仿宋_GB2312" w:eastAsia="仿宋_GB2312" w:cs="仿宋_GB2312"/>
                <w:sz w:val="28"/>
                <w:szCs w:val="28"/>
              </w:rPr>
            </w:pPr>
            <w:r>
              <w:rPr>
                <w:rFonts w:hint="eastAsia" w:ascii="仿宋_GB2312" w:hAnsi="仿宋_GB2312" w:eastAsia="仿宋_GB2312" w:cs="仿宋_GB2312"/>
                <w:sz w:val="24"/>
              </w:rPr>
              <w:t>○事业单位法人  ○其他：</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1671" w:type="dxa"/>
            <w:gridSpan w:val="2"/>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经济性质</w:t>
            </w:r>
          </w:p>
        </w:tc>
        <w:tc>
          <w:tcPr>
            <w:tcW w:w="7305" w:type="dxa"/>
            <w:gridSpan w:val="14"/>
            <w:vAlign w:val="center"/>
          </w:tcPr>
          <w:p>
            <w:pPr>
              <w:ind w:firstLine="140" w:firstLineChars="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○国有    ○集体    √民营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法定代表人</w:t>
            </w:r>
          </w:p>
        </w:tc>
        <w:tc>
          <w:tcPr>
            <w:tcW w:w="1517"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姓名</w:t>
            </w:r>
          </w:p>
        </w:tc>
        <w:tc>
          <w:tcPr>
            <w:tcW w:w="1800" w:type="dxa"/>
            <w:gridSpan w:val="4"/>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韩震</w:t>
            </w:r>
          </w:p>
        </w:tc>
        <w:tc>
          <w:tcPr>
            <w:tcW w:w="1612" w:type="dxa"/>
            <w:gridSpan w:val="4"/>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职务</w:t>
            </w:r>
          </w:p>
        </w:tc>
        <w:tc>
          <w:tcPr>
            <w:tcW w:w="2376"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执行董事兼总经理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71" w:type="dxa"/>
            <w:gridSpan w:val="2"/>
            <w:vMerge w:val="restart"/>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联系人</w:t>
            </w:r>
          </w:p>
        </w:tc>
        <w:tc>
          <w:tcPr>
            <w:tcW w:w="1517"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姓名</w:t>
            </w:r>
          </w:p>
        </w:tc>
        <w:tc>
          <w:tcPr>
            <w:tcW w:w="1800" w:type="dxa"/>
            <w:gridSpan w:val="4"/>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刘玉洋</w:t>
            </w:r>
          </w:p>
        </w:tc>
        <w:tc>
          <w:tcPr>
            <w:tcW w:w="1612" w:type="dxa"/>
            <w:gridSpan w:val="4"/>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职务</w:t>
            </w:r>
          </w:p>
        </w:tc>
        <w:tc>
          <w:tcPr>
            <w:tcW w:w="2376"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总经理助理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4" w:hRule="atLeast"/>
          <w:jc w:val="center"/>
        </w:trPr>
        <w:tc>
          <w:tcPr>
            <w:tcW w:w="1671" w:type="dxa"/>
            <w:gridSpan w:val="2"/>
            <w:vMerge w:val="continue"/>
            <w:vAlign w:val="center"/>
          </w:tcPr>
          <w:p>
            <w:pPr>
              <w:jc w:val="center"/>
              <w:rPr>
                <w:rFonts w:ascii="仿宋_GB2312" w:hAnsi="仿宋_GB2312" w:eastAsia="仿宋_GB2312" w:cs="仿宋_GB2312"/>
                <w:b/>
                <w:sz w:val="28"/>
                <w:szCs w:val="28"/>
              </w:rPr>
            </w:pPr>
          </w:p>
        </w:tc>
        <w:tc>
          <w:tcPr>
            <w:tcW w:w="1517"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手机</w:t>
            </w:r>
          </w:p>
        </w:tc>
        <w:tc>
          <w:tcPr>
            <w:tcW w:w="1800" w:type="dxa"/>
            <w:gridSpan w:val="4"/>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15628873653</w:t>
            </w:r>
          </w:p>
        </w:tc>
        <w:tc>
          <w:tcPr>
            <w:tcW w:w="1612" w:type="dxa"/>
            <w:gridSpan w:val="4"/>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邮箱</w:t>
            </w:r>
          </w:p>
        </w:tc>
        <w:tc>
          <w:tcPr>
            <w:tcW w:w="2376"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490023283@qq.com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29" w:type="dxa"/>
            <w:vMerge w:val="restart"/>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财务</w:t>
            </w:r>
          </w:p>
          <w:p>
            <w:pPr>
              <w:jc w:val="center"/>
              <w:rPr>
                <w:rFonts w:ascii="仿宋_GB2312" w:hAnsi="仿宋_GB2312" w:eastAsia="仿宋_GB2312" w:cs="仿宋_GB2312"/>
                <w:bCs/>
                <w:sz w:val="24"/>
              </w:rPr>
            </w:pPr>
            <w:r>
              <w:rPr>
                <w:rFonts w:hint="eastAsia" w:ascii="仿宋_GB2312" w:hAnsi="仿宋_GB2312" w:eastAsia="仿宋_GB2312" w:cs="仿宋_GB2312"/>
                <w:bCs/>
                <w:sz w:val="24"/>
              </w:rPr>
              <w:t>状况</w:t>
            </w:r>
          </w:p>
          <w:p>
            <w:pPr>
              <w:jc w:val="center"/>
              <w:rPr>
                <w:rFonts w:ascii="仿宋_GB2312" w:hAnsi="仿宋_GB2312" w:eastAsia="仿宋_GB2312" w:cs="仿宋_GB2312"/>
                <w:b/>
                <w:sz w:val="24"/>
              </w:rPr>
            </w:pPr>
            <w:r>
              <w:rPr>
                <w:rFonts w:hint="eastAsia" w:ascii="仿宋_GB2312" w:hAnsi="仿宋_GB2312" w:eastAsia="仿宋_GB2312" w:cs="仿宋_GB2312"/>
                <w:bCs/>
                <w:sz w:val="24"/>
              </w:rPr>
              <w:t>(万元)</w:t>
            </w:r>
          </w:p>
        </w:tc>
        <w:tc>
          <w:tcPr>
            <w:tcW w:w="8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年份</w:t>
            </w:r>
          </w:p>
        </w:tc>
        <w:tc>
          <w:tcPr>
            <w:tcW w:w="886" w:type="dxa"/>
            <w:gridSpan w:val="2"/>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总收入</w:t>
            </w:r>
          </w:p>
        </w:tc>
        <w:tc>
          <w:tcPr>
            <w:tcW w:w="850" w:type="dxa"/>
            <w:gridSpan w:val="2"/>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年产值</w:t>
            </w:r>
          </w:p>
        </w:tc>
        <w:tc>
          <w:tcPr>
            <w:tcW w:w="851" w:type="dxa"/>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年销</w:t>
            </w:r>
          </w:p>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售额</w:t>
            </w:r>
          </w:p>
        </w:tc>
        <w:tc>
          <w:tcPr>
            <w:tcW w:w="850" w:type="dxa"/>
            <w:gridSpan w:val="3"/>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年利税</w:t>
            </w:r>
          </w:p>
        </w:tc>
        <w:tc>
          <w:tcPr>
            <w:tcW w:w="993" w:type="dxa"/>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年净</w:t>
            </w:r>
          </w:p>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利润</w:t>
            </w:r>
          </w:p>
        </w:tc>
        <w:tc>
          <w:tcPr>
            <w:tcW w:w="850" w:type="dxa"/>
            <w:gridSpan w:val="4"/>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研发</w:t>
            </w:r>
          </w:p>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经费</w:t>
            </w:r>
          </w:p>
        </w:tc>
        <w:tc>
          <w:tcPr>
            <w:tcW w:w="2025"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829" w:type="dxa"/>
            <w:vMerge w:val="continue"/>
            <w:vAlign w:val="center"/>
          </w:tcPr>
          <w:p>
            <w:pPr>
              <w:jc w:val="center"/>
              <w:rPr>
                <w:rFonts w:ascii="仿宋_GB2312" w:hAnsi="仿宋_GB2312" w:eastAsia="仿宋_GB2312" w:cs="仿宋_GB2312"/>
                <w:b/>
                <w:sz w:val="24"/>
              </w:rPr>
            </w:pPr>
          </w:p>
        </w:tc>
        <w:tc>
          <w:tcPr>
            <w:tcW w:w="8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2020</w:t>
            </w:r>
          </w:p>
        </w:tc>
        <w:tc>
          <w:tcPr>
            <w:tcW w:w="886"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1250</w:t>
            </w:r>
          </w:p>
        </w:tc>
        <w:tc>
          <w:tcPr>
            <w:tcW w:w="85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2000</w:t>
            </w:r>
          </w:p>
        </w:tc>
        <w:tc>
          <w:tcPr>
            <w:tcW w:w="85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1100</w:t>
            </w:r>
          </w:p>
        </w:tc>
        <w:tc>
          <w:tcPr>
            <w:tcW w:w="85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70</w:t>
            </w:r>
          </w:p>
        </w:tc>
        <w:tc>
          <w:tcPr>
            <w:tcW w:w="99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150</w:t>
            </w:r>
          </w:p>
        </w:tc>
        <w:tc>
          <w:tcPr>
            <w:tcW w:w="850" w:type="dxa"/>
            <w:gridSpan w:val="4"/>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120</w:t>
            </w:r>
          </w:p>
        </w:tc>
        <w:tc>
          <w:tcPr>
            <w:tcW w:w="202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jc w:val="center"/>
        </w:trPr>
        <w:tc>
          <w:tcPr>
            <w:tcW w:w="829" w:type="dxa"/>
            <w:vMerge w:val="continue"/>
            <w:vAlign w:val="center"/>
          </w:tcPr>
          <w:p>
            <w:pPr>
              <w:jc w:val="center"/>
              <w:rPr>
                <w:rFonts w:ascii="仿宋_GB2312" w:hAnsi="仿宋_GB2312" w:eastAsia="仿宋_GB2312" w:cs="仿宋_GB2312"/>
                <w:b/>
                <w:sz w:val="24"/>
              </w:rPr>
            </w:pPr>
          </w:p>
        </w:tc>
        <w:tc>
          <w:tcPr>
            <w:tcW w:w="8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2019</w:t>
            </w:r>
          </w:p>
        </w:tc>
        <w:tc>
          <w:tcPr>
            <w:tcW w:w="886"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880</w:t>
            </w:r>
          </w:p>
        </w:tc>
        <w:tc>
          <w:tcPr>
            <w:tcW w:w="85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1500</w:t>
            </w:r>
          </w:p>
        </w:tc>
        <w:tc>
          <w:tcPr>
            <w:tcW w:w="85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600</w:t>
            </w:r>
          </w:p>
        </w:tc>
        <w:tc>
          <w:tcPr>
            <w:tcW w:w="85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30</w:t>
            </w:r>
          </w:p>
        </w:tc>
        <w:tc>
          <w:tcPr>
            <w:tcW w:w="99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100</w:t>
            </w:r>
          </w:p>
        </w:tc>
        <w:tc>
          <w:tcPr>
            <w:tcW w:w="850" w:type="dxa"/>
            <w:gridSpan w:val="4"/>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80</w:t>
            </w:r>
          </w:p>
        </w:tc>
        <w:tc>
          <w:tcPr>
            <w:tcW w:w="202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829" w:type="dxa"/>
            <w:vMerge w:val="continue"/>
            <w:vAlign w:val="center"/>
          </w:tcPr>
          <w:p>
            <w:pPr>
              <w:jc w:val="center"/>
              <w:rPr>
                <w:rFonts w:ascii="仿宋_GB2312" w:hAnsi="仿宋_GB2312" w:eastAsia="仿宋_GB2312" w:cs="仿宋_GB2312"/>
                <w:b/>
                <w:sz w:val="24"/>
              </w:rPr>
            </w:pPr>
          </w:p>
        </w:tc>
        <w:tc>
          <w:tcPr>
            <w:tcW w:w="842"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2018</w:t>
            </w:r>
          </w:p>
        </w:tc>
        <w:tc>
          <w:tcPr>
            <w:tcW w:w="886"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320</w:t>
            </w:r>
          </w:p>
        </w:tc>
        <w:tc>
          <w:tcPr>
            <w:tcW w:w="850" w:type="dxa"/>
            <w:gridSpan w:val="2"/>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500</w:t>
            </w:r>
          </w:p>
        </w:tc>
        <w:tc>
          <w:tcPr>
            <w:tcW w:w="851"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170</w:t>
            </w:r>
          </w:p>
        </w:tc>
        <w:tc>
          <w:tcPr>
            <w:tcW w:w="850" w:type="dxa"/>
            <w:gridSpan w:val="3"/>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10</w:t>
            </w:r>
          </w:p>
        </w:tc>
        <w:tc>
          <w:tcPr>
            <w:tcW w:w="993"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30</w:t>
            </w:r>
          </w:p>
        </w:tc>
        <w:tc>
          <w:tcPr>
            <w:tcW w:w="850" w:type="dxa"/>
            <w:gridSpan w:val="4"/>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50</w:t>
            </w:r>
          </w:p>
        </w:tc>
        <w:tc>
          <w:tcPr>
            <w:tcW w:w="2025"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8976" w:type="dxa"/>
            <w:gridSpan w:val="16"/>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2334"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项目需求名称</w:t>
            </w:r>
          </w:p>
        </w:tc>
        <w:tc>
          <w:tcPr>
            <w:tcW w:w="6642" w:type="dxa"/>
            <w:gridSpan w:val="13"/>
            <w:vAlign w:val="center"/>
          </w:tcPr>
          <w:p>
            <w:pPr>
              <w:jc w:val="center"/>
              <w:rPr>
                <w:rFonts w:ascii="仿宋_GB2312" w:hAnsi="仿宋_GB2312" w:eastAsia="仿宋_GB2312" w:cs="仿宋_GB2312"/>
                <w:bCs/>
                <w:sz w:val="28"/>
                <w:szCs w:val="28"/>
              </w:rPr>
            </w:pPr>
            <w:r>
              <w:rPr>
                <w:rFonts w:hint="eastAsia" w:ascii="仿宋" w:hAnsi="仿宋" w:eastAsia="仿宋" w:cs="仿宋"/>
                <w:bCs/>
                <w:sz w:val="24"/>
              </w:rPr>
              <w:t>装配式建筑预制构件通用模具关键技术研究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7" w:hRule="atLeast"/>
          <w:jc w:val="center"/>
        </w:trPr>
        <w:tc>
          <w:tcPr>
            <w:tcW w:w="8976" w:type="dxa"/>
            <w:gridSpan w:val="16"/>
            <w:vAlign w:val="center"/>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需求背景、国内外相关情况介绍（限500字）</w:t>
            </w:r>
          </w:p>
          <w:p>
            <w:pPr>
              <w:spacing w:line="560" w:lineRule="exact"/>
              <w:ind w:firstLine="480" w:firstLineChars="200"/>
              <w:jc w:val="left"/>
              <w:rPr>
                <w:rFonts w:ascii="仿宋" w:hAnsi="仿宋" w:eastAsia="仿宋" w:cs="仿宋"/>
                <w:bCs/>
                <w:sz w:val="24"/>
              </w:rPr>
            </w:pPr>
            <w:r>
              <w:rPr>
                <w:rFonts w:hint="eastAsia" w:ascii="仿宋" w:hAnsi="仿宋" w:eastAsia="仿宋" w:cs="仿宋"/>
                <w:bCs/>
                <w:sz w:val="24"/>
              </w:rPr>
              <w:t>近年来，混凝土预制装配式建筑以其自身所具备的诸多优势，在建筑工程中的应用越来越广泛。预制混凝土构件主要包括：叠合板、楼梯和室外空调板，统称为预制PC构件。此类预制构件可依据设计要求进行工厂加工，在保证质量的前提下，提高生产效率。预制PC构件模具是工厂加工的基础和前提条件，其经济性、合理性及可重复利用率是推动混凝土预制装配式建筑发展的重要支撑。</w:t>
            </w:r>
          </w:p>
          <w:p>
            <w:pPr>
              <w:spacing w:line="560" w:lineRule="exact"/>
              <w:ind w:firstLine="480" w:firstLineChars="200"/>
              <w:jc w:val="left"/>
              <w:rPr>
                <w:rFonts w:ascii="仿宋" w:hAnsi="仿宋" w:eastAsia="仿宋" w:cs="仿宋"/>
                <w:bCs/>
                <w:sz w:val="24"/>
              </w:rPr>
            </w:pPr>
            <w:r>
              <w:rPr>
                <w:rFonts w:hint="eastAsia" w:ascii="仿宋" w:hAnsi="仿宋" w:eastAsia="仿宋" w:cs="仿宋"/>
                <w:bCs/>
                <w:sz w:val="24"/>
              </w:rPr>
              <w:t>目前，国内外预制PC构件模具较多采用“出筋边模”或“定型钢模”。即：根据预制PC构件的技术标准、尺寸大小、钢筋排布和配套功能制作“出筋边模”或“定型钢模”；脱模时，通过人工分离模具内各组件的连接件，将模具移出。“出筋边模”或“定型钢模”通用性较差，即：不同项目、不同部位的构件所需模具各不相同。为满足生产需要，各预制PC构件又不得不投入重金，针对不同批次产品提前加工相应的模具，待完成该批次预制PC构件的生产后，模具随之失去再利用价值，该现象造成极大的浪费。据不完全统计，一家中型构件加工厂，每年楼梯模具投入50余万元，但可再利用率为零。</w:t>
            </w:r>
          </w:p>
          <w:p>
            <w:pPr>
              <w:spacing w:line="560" w:lineRule="exact"/>
              <w:ind w:firstLine="480" w:firstLineChars="200"/>
              <w:rPr>
                <w:rFonts w:ascii="仿宋_GB2312" w:hAnsi="仿宋_GB2312" w:eastAsia="仿宋_GB2312" w:cs="仿宋_GB2312"/>
                <w:bCs/>
                <w:sz w:val="32"/>
                <w:szCs w:val="32"/>
              </w:rPr>
            </w:pPr>
            <w:r>
              <w:rPr>
                <w:rFonts w:hint="eastAsia" w:ascii="仿宋" w:hAnsi="仿宋" w:eastAsia="仿宋" w:cs="仿宋"/>
                <w:bCs/>
                <w:sz w:val="24"/>
              </w:rPr>
              <w:t>综上，</w:t>
            </w:r>
            <w:r>
              <w:rPr>
                <w:rFonts w:hint="eastAsia" w:ascii="仿宋" w:hAnsi="仿宋" w:eastAsia="仿宋" w:cs="仿宋"/>
                <w:bCs/>
                <w:sz w:val="24"/>
              </w:rPr>
              <w:t>装配式建筑预制构件通用模具的研发攻关工作具有十分积极的社会效益和经济效益，对推动装配式建筑的发展起到积极的作用。</w:t>
            </w:r>
          </w:p>
          <w:p>
            <w:pPr>
              <w:spacing w:line="360" w:lineRule="auto"/>
              <w:ind w:firstLine="480" w:firstLineChars="200"/>
              <w:jc w:val="lef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jc w:val="center"/>
        </w:trPr>
        <w:tc>
          <w:tcPr>
            <w:tcW w:w="8976" w:type="dxa"/>
            <w:gridSpan w:val="16"/>
            <w:vAlign w:val="center"/>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需求内容描述（技术指标参数或成果转化条件等）（限1000字）</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1.现有装配式建筑预制构件模具的弊端，主要表现在以下几个方面：</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1）模具通用性较差。现有常规预制PC构件模具只能生产符合某一特定技术指标的构件，导致模具重复利用率低、造成材料浪费；间接推高预制PC构件生产成本，为装配式建筑的发展设立障碍，降低了社会效益和经济效益。</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2）模具加工制造时间长。由于模具的通用性较差，造成不同项目的预制构件模具需要提前预订，并单独加工制造。以楼梯模具为例，需提前15天预订。模具加工时间影响整个供货周期，也会间接推高构件生产成本。</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（3）模具容错能力差。由于模具的通用性差，因此模具一旦加工制作完成，则容错能力很差。若模具加工制作过程中出现偏差，则该模具无法满足生产需要，只能废弃，重新制作。</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（4）模具成本较高。现有常规预制PC构件模具，尤其是“定型钢模”，重复利用率几乎为零，造成单个钢模成本较高。</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综上，通过克服上述问题，实现一模多用、一模通用的预制PC构件模具，是该领域企业需要亟待解决的技术问题。基于企业生产实际情况，从生产周期、成本以及资源的合理利用角度，希望能通过科研机构、高校或专业的技术人员技术攻关，研发通用预制PC构件模具，实现预制楼板通用模具、预制空调板通用模具和预制楼梯通用模具。从而提升预制构件生产效率，降低生产成本，节约生产资源，使装配式建筑更符合绿色发展理念。</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2.通用预制PC构件模具应符合以下技术指标：</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1）通用性。通用预制PC构件模具可根据设计图纸中的制PC构件尺寸参数要求进行模具形状、厚度、各类节点构造的组装与调节。以楼梯模具为例，该通用楼梯模具应能满足90%以上同类型预制楼梯外观尺寸要求，基本实现通用性。</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（2）模具组装时间短。新型预制PC构件通用模具组装耗时应较短，在常规条件下，2个工作日，基本实现模具的组装，并能满足生产需求。</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（3）大大降低模具成本。新型预制PC构件通用模具组装过程中，如需更换局部配件，则配件成本不应高于原传统模具的30%。组装人工费用不应超过原传统模具的20%。</w:t>
            </w:r>
          </w:p>
          <w:p>
            <w:pPr>
              <w:spacing w:line="360" w:lineRule="auto"/>
              <w:ind w:firstLine="480" w:firstLineChars="200"/>
              <w:jc w:val="left"/>
              <w:rPr>
                <w:rFonts w:ascii="仿宋_GB2312" w:hAnsi="仿宋_GB2312" w:eastAsia="仿宋_GB2312" w:cs="仿宋_GB2312"/>
                <w:bCs/>
                <w:sz w:val="28"/>
                <w:szCs w:val="28"/>
              </w:rPr>
            </w:pPr>
            <w:r>
              <w:rPr>
                <w:rFonts w:hint="eastAsia" w:ascii="仿宋" w:hAnsi="仿宋" w:eastAsia="仿宋" w:cs="仿宋"/>
                <w:bCs/>
                <w:sz w:val="24"/>
              </w:rPr>
              <w:t>综上，通用预制PC构件模具应具有通用性，造价低，组装耗时短三个显著特征。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9" w:hRule="atLeast"/>
          <w:jc w:val="center"/>
        </w:trPr>
        <w:tc>
          <w:tcPr>
            <w:tcW w:w="8976" w:type="dxa"/>
            <w:gridSpan w:val="16"/>
            <w:tcBorders>
              <w:bottom w:val="single" w:color="auto" w:sz="4" w:space="0"/>
            </w:tcBorders>
          </w:tcPr>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对揭榜方要求（限500字）</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1.要求揭榜方为省内外有研究开发能力的高校、科技型中小企业或其组织的联合体；</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2.揭榜方应具有较强的研发团队、科研条件和自主研发能力，在相关领域拥有良好的科研业绩，有能力完成揭榜任务；</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3.揭榜方能对项目需求提出攻克关键核心技术的可行方案，掌握自主知识产权；</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4.具有良好的科研道德和社会诚信，近三年内无不良信用记录；</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5.鼓励揭榜方开展产学研合作、组团揭榜攻关。</w:t>
            </w:r>
          </w:p>
          <w:p>
            <w:pPr>
              <w:spacing w:line="360" w:lineRule="auto"/>
              <w:ind w:firstLine="480" w:firstLineChars="200"/>
              <w:jc w:val="lef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3" w:hRule="atLeast"/>
          <w:jc w:val="center"/>
        </w:trPr>
        <w:tc>
          <w:tcPr>
            <w:tcW w:w="8976" w:type="dxa"/>
            <w:gridSpan w:val="16"/>
            <w:tcBorders>
              <w:bottom w:val="single" w:color="auto" w:sz="4" w:space="0"/>
            </w:tcBorders>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利益分配等要求（限500字）：</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60"/>
              <w:textAlignment w:val="auto"/>
              <w:rPr>
                <w:rFonts w:ascii="仿宋_GB2312" w:hAnsi="仿宋_GB2312" w:eastAsia="仿宋_GB2312" w:cs="仿宋_GB2312"/>
                <w:color w:val="auto"/>
                <w:kern w:val="2"/>
                <w:sz w:val="32"/>
                <w:szCs w:val="32"/>
              </w:rPr>
            </w:pPr>
            <w:r>
              <w:rPr>
                <w:rFonts w:hint="eastAsia" w:ascii="仿宋" w:hAnsi="仿宋" w:eastAsia="仿宋" w:cs="仿宋"/>
                <w:bCs/>
                <w:sz w:val="24"/>
                <w:lang w:val="en-US" w:eastAsia="zh-CN"/>
              </w:rPr>
              <w:t>该</w:t>
            </w:r>
            <w:r>
              <w:rPr>
                <w:rFonts w:hint="eastAsia" w:ascii="仿宋" w:hAnsi="仿宋" w:eastAsia="仿宋" w:cs="仿宋"/>
                <w:bCs/>
                <w:kern w:val="2"/>
                <w:sz w:val="24"/>
                <w:szCs w:val="24"/>
                <w:lang w:val="en-US" w:eastAsia="zh-CN" w:bidi="ar-SA"/>
              </w:rPr>
              <w:t>项目的相关技术成果及知识产权所形成收益由聊城产研院及出资方按出资比例享有。在揭榜攻关过程中，形成新的技术成果及知识产权的所有权由产研院及出资方按出资比例享有。</w:t>
            </w:r>
          </w:p>
          <w:p>
            <w:pPr>
              <w:spacing w:line="360" w:lineRule="auto"/>
              <w:ind w:firstLine="480" w:firstLineChars="200"/>
              <w:jc w:val="left"/>
              <w:rPr>
                <w:rFonts w:hint="eastAsia" w:ascii="仿宋" w:hAnsi="仿宋" w:eastAsia="仿宋" w:cs="仿宋"/>
                <w:bCs/>
                <w:sz w:val="24"/>
              </w:rPr>
            </w:pPr>
          </w:p>
          <w:p>
            <w:pPr>
              <w:spacing w:line="360" w:lineRule="auto"/>
              <w:jc w:val="lef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2334" w:type="dxa"/>
            <w:gridSpan w:val="3"/>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时限要求</w:t>
            </w:r>
          </w:p>
        </w:tc>
        <w:tc>
          <w:tcPr>
            <w:tcW w:w="2244" w:type="dxa"/>
            <w:gridSpan w:val="5"/>
            <w:vAlign w:val="center"/>
          </w:tcPr>
          <w:p>
            <w:pPr>
              <w:jc w:val="center"/>
              <w:rPr>
                <w:rFonts w:ascii="仿宋_GB2312" w:hAnsi="仿宋_GB2312" w:eastAsia="仿宋_GB2312" w:cs="仿宋_GB2312"/>
                <w:bCs/>
                <w:sz w:val="28"/>
                <w:szCs w:val="28"/>
              </w:rPr>
            </w:pPr>
            <w:r>
              <w:rPr>
                <w:rFonts w:hint="eastAsia" w:ascii="仿宋" w:hAnsi="仿宋" w:eastAsia="仿宋" w:cs="仿宋"/>
                <w:bCs/>
                <w:sz w:val="24"/>
                <w:lang w:val="en-US" w:eastAsia="zh-CN"/>
              </w:rPr>
              <w:t>≤</w:t>
            </w:r>
            <w:r>
              <w:rPr>
                <w:rFonts w:hint="eastAsia" w:ascii="仿宋" w:hAnsi="仿宋" w:eastAsia="仿宋" w:cs="仿宋"/>
                <w:bCs/>
                <w:sz w:val="24"/>
              </w:rPr>
              <w:t>2年</w:t>
            </w:r>
          </w:p>
        </w:tc>
        <w:tc>
          <w:tcPr>
            <w:tcW w:w="2261" w:type="dxa"/>
            <w:gridSpan w:val="6"/>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项目投入总额</w:t>
            </w:r>
          </w:p>
        </w:tc>
        <w:tc>
          <w:tcPr>
            <w:tcW w:w="2137" w:type="dxa"/>
            <w:gridSpan w:val="2"/>
            <w:vAlign w:val="center"/>
          </w:tcPr>
          <w:p>
            <w:pPr>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 xml:space="preserve">   </w:t>
            </w:r>
            <w:bookmarkStart w:id="0" w:name="_GoBack"/>
            <w:bookmarkEnd w:id="0"/>
            <w:r>
              <w:rPr>
                <w:rFonts w:hint="eastAsia" w:ascii="仿宋" w:hAnsi="仿宋" w:eastAsia="仿宋" w:cs="仿宋"/>
                <w:bCs/>
                <w:sz w:val="24"/>
                <w:lang w:val="en-US" w:eastAsia="zh-CN"/>
              </w:rPr>
              <w:t>100</w:t>
            </w:r>
            <w:r>
              <w:rPr>
                <w:rFonts w:hint="eastAsia" w:ascii="仿宋" w:hAnsi="仿宋" w:eastAsia="仿宋" w:cs="仿宋"/>
                <w:bCs/>
                <w:sz w:val="24"/>
              </w:rPr>
              <w:t>万元</w:t>
            </w:r>
          </w:p>
        </w:tc>
      </w:tr>
    </w:tbl>
    <w:p>
      <w:pPr>
        <w:spacing w:line="40" w:lineRule="exact"/>
      </w:pPr>
    </w:p>
    <w:sectPr>
      <w:pgSz w:w="11906" w:h="16838"/>
      <w:pgMar w:top="2098" w:right="1746" w:bottom="187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67986"/>
    <w:rsid w:val="0003563D"/>
    <w:rsid w:val="00441BFC"/>
    <w:rsid w:val="004A2B57"/>
    <w:rsid w:val="03530E41"/>
    <w:rsid w:val="0A482127"/>
    <w:rsid w:val="0B857E02"/>
    <w:rsid w:val="0B9659E6"/>
    <w:rsid w:val="0DE32291"/>
    <w:rsid w:val="0E71076A"/>
    <w:rsid w:val="0E950136"/>
    <w:rsid w:val="0EB508D6"/>
    <w:rsid w:val="0F30206A"/>
    <w:rsid w:val="11043F73"/>
    <w:rsid w:val="1131338E"/>
    <w:rsid w:val="122D4298"/>
    <w:rsid w:val="123B3FD4"/>
    <w:rsid w:val="13A67986"/>
    <w:rsid w:val="17310439"/>
    <w:rsid w:val="181755AD"/>
    <w:rsid w:val="1BF5356C"/>
    <w:rsid w:val="1CE82261"/>
    <w:rsid w:val="1E31747E"/>
    <w:rsid w:val="230A5A4C"/>
    <w:rsid w:val="244A4894"/>
    <w:rsid w:val="25984B54"/>
    <w:rsid w:val="26626147"/>
    <w:rsid w:val="293839D2"/>
    <w:rsid w:val="2A5142F3"/>
    <w:rsid w:val="2CA35236"/>
    <w:rsid w:val="2D6A75E6"/>
    <w:rsid w:val="2E77123F"/>
    <w:rsid w:val="2F2F4571"/>
    <w:rsid w:val="34EC67C8"/>
    <w:rsid w:val="36DE7892"/>
    <w:rsid w:val="390D2AEE"/>
    <w:rsid w:val="3B4446FE"/>
    <w:rsid w:val="3BDB0DE6"/>
    <w:rsid w:val="42655D31"/>
    <w:rsid w:val="42BF7DCF"/>
    <w:rsid w:val="43424A80"/>
    <w:rsid w:val="43E670B6"/>
    <w:rsid w:val="446C4CC2"/>
    <w:rsid w:val="44FE66DA"/>
    <w:rsid w:val="4525666B"/>
    <w:rsid w:val="49F667E7"/>
    <w:rsid w:val="4A4A5316"/>
    <w:rsid w:val="4A7C11B3"/>
    <w:rsid w:val="4D294F39"/>
    <w:rsid w:val="4E9E19AF"/>
    <w:rsid w:val="4F440BFD"/>
    <w:rsid w:val="50B46EB2"/>
    <w:rsid w:val="523D197E"/>
    <w:rsid w:val="54296AC6"/>
    <w:rsid w:val="58016D4F"/>
    <w:rsid w:val="58A95410"/>
    <w:rsid w:val="59881D4C"/>
    <w:rsid w:val="5B5E1CB3"/>
    <w:rsid w:val="61A638E4"/>
    <w:rsid w:val="63171155"/>
    <w:rsid w:val="6ACA1ED9"/>
    <w:rsid w:val="6CE366C4"/>
    <w:rsid w:val="6FB00FCC"/>
    <w:rsid w:val="72A2623E"/>
    <w:rsid w:val="73076DE2"/>
    <w:rsid w:val="73CB2A9F"/>
    <w:rsid w:val="75BD31E6"/>
    <w:rsid w:val="77F15AE4"/>
    <w:rsid w:val="78541586"/>
    <w:rsid w:val="786A681A"/>
    <w:rsid w:val="793A68B4"/>
    <w:rsid w:val="79F14266"/>
    <w:rsid w:val="7A237272"/>
    <w:rsid w:val="7B8323E7"/>
    <w:rsid w:val="7EE85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335</Words>
  <Characters>1916</Characters>
  <Lines>15</Lines>
  <Paragraphs>4</Paragraphs>
  <TotalTime>0</TotalTime>
  <ScaleCrop>false</ScaleCrop>
  <LinksUpToDate>false</LinksUpToDate>
  <CharactersWithSpaces>2247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2020-12-18T08:01:00Z</dcterms:created>
  <dc:creator>DELL</dc:creator>
  <cp:lastModifiedBy>DELL</cp:lastModifiedBy>
  <dcterms:modified xsi:type="dcterms:W3CDTF">2021-03-01T03:11:24Z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